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5144</w:t>
        <w:t xml:space="preserve">.  </w:t>
      </w:r>
      <w:r>
        <w:rPr>
          <w:b/>
        </w:rPr>
        <w:t xml:space="preserve">Discontinuance of service</w:t>
      </w:r>
    </w:p>
    <w:p>
      <w:pPr>
        <w:jc w:val="both"/>
        <w:spacing w:before="100" w:after="100"/>
        <w:ind w:start="360"/>
        <w:ind w:firstLine="360"/>
      </w:pPr>
      <w:r>
        <w:rPr/>
      </w:r>
      <w:r>
        <w:rPr/>
      </w:r>
      <w:r>
        <w:t xml:space="preserve">No railroad or railroad company may discontinue service to any point served prior to January 1, 1982, unless the railroad or railway company has filed with the Department of Transportation and with any municipality affected by the discontinuance of service and, in the case where service is discontinued solely to one shipper, with that shipper, a written notice of intention to discontinue that service. The written notice shall be given at least 30 days prior to discontinuing the service. This section does not apply to any railroad corporation engaged in interstate commerce while and so long as that corporation is required by federal law to make application to and procure consent from the Interstate Commerce Commission as a condition precedent to any such abandonment of property or discontinuance of service as is contemplated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§5144. Discontinuance of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§5144. Discontinuance of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§5144. DISCONTINUANCE OF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