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Rights of coupon holders</w:t>
      </w:r>
    </w:p>
    <w:p>
      <w:pPr>
        <w:jc w:val="both"/>
        <w:spacing w:before="100" w:after="100"/>
        <w:ind w:start="360"/>
        <w:ind w:firstLine="360"/>
      </w:pPr>
      <w:r>
        <w:rPr/>
      </w:r>
      <w:r>
        <w:rPr/>
      </w:r>
      <w:r>
        <w:t xml:space="preserve">When coupons for interest issued with bonds are, for a valuable consideration, detached and assigned by delivery, the assignee may maintain a civil action upon them in his own name against the corporation engaging to pay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§5152. Rights of coupon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Rights of coupon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§5152. RIGHTS OF COUPON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