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5189</w:t>
        <w:t xml:space="preserve">.  </w:t>
      </w:r>
      <w:r>
        <w:rPr>
          <w:b/>
        </w:rPr>
        <w:t xml:space="preserve">New corporation may buy right of redemption</w:t>
      </w:r>
    </w:p>
    <w:p>
      <w:pPr>
        <w:jc w:val="both"/>
        <w:spacing w:before="100" w:after="100"/>
        <w:ind w:start="360"/>
        <w:ind w:firstLine="360"/>
      </w:pPr>
      <w:r>
        <w:rPr/>
      </w:r>
      <w:r>
        <w:rPr/>
      </w:r>
      <w:r>
        <w:t xml:space="preserve">Any corporation formed under this chapter by the holders of railroad bonds may acquire, by purchase, the right of redemption under the mortgage securing the bonds.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§5189. New corporation may buy right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§5189. New corporation may buy right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§5189. NEW CORPORATION MAY BUY RIGHT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