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§5190. When franchise lost; action for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When franchise lost; action for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§5190. WHEN FRANCHISE LOST; ACTION FOR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