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State Purchasing Agent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