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Minor spans</w:t>
      </w:r>
    </w:p>
    <w:p>
      <w:pPr>
        <w:jc w:val="both"/>
        <w:spacing w:before="100" w:after="100"/>
        <w:ind w:start="360"/>
        <w:ind w:firstLine="360"/>
      </w:pPr>
      <w:r>
        <w:rPr/>
      </w:r>
      <w:r>
        <w:rPr/>
      </w:r>
      <w:r>
        <w:t xml:space="preserve">The department has maintenance responsibility and capital responsibility for all minor spans on state aid highways, unless provided otherwise pursuant to </w:t>
      </w:r>
      <w:r>
        <w:t>section 566,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w:pPr>
        <w:jc w:val="both"/>
        <w:spacing w:before="100" w:after="100"/>
        <w:ind w:start="360"/>
        <w:ind w:firstLine="360"/>
      </w:pPr>
      <w:r>
        <w:rPr/>
      </w:r>
      <w:r>
        <w:rPr/>
      </w:r>
      <w:r>
        <w:t xml:space="preserve">A municipality has maintenance responsibility and capital responsibility for all minor spans on town ways except as provided otherwise pursuant to </w:t>
      </w:r>
      <w:r>
        <w:t>section 566, subsection 5</w:t>
      </w:r>
      <w:r>
        <w:t xml:space="preserve">.  For a minor span located on a town line, the municipalities shall equally share capital responsibility unless the municipalities agree otherwise.</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w:pPr>
        <w:jc w:val="both"/>
        <w:spacing w:before="100" w:after="100"/>
        <w:ind w:start="360"/>
        <w:ind w:firstLine="360"/>
      </w:pPr>
      <w:r>
        <w:rPr/>
      </w:r>
      <w:r>
        <w:rPr/>
      </w:r>
      <w:r>
        <w:t xml:space="preserve">Upon request by a municipality, the department shall provide limited technical advice regarding repair and capital improvement options without assuming any cost of or liability to the municipality.</w:t>
      </w:r>
      <w:r>
        <w:t xml:space="preserve">  </w:t>
      </w:r>
      <w:r xmlns:wp="http://schemas.openxmlformats.org/drawingml/2010/wordprocessingDrawing" xmlns:w15="http://schemas.microsoft.com/office/word/2012/wordml">
        <w:rPr>
          <w:rFonts w:ascii="Arial" w:hAnsi="Arial" w:cs="Arial"/>
          <w:sz w:val="22"/>
          <w:szCs w:val="22"/>
        </w:rPr>
        <w:t xml:space="preserve">[PL 2001, c. 314, §2 (NEW); PL 2001, c. 314,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314, §2 (NEW).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§564. Minor spans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Minor spans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§564. MINOR SPANS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