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Land taken for change</w:t>
      </w:r>
    </w:p>
    <w:p>
      <w:pPr>
        <w:jc w:val="both"/>
        <w:spacing w:before="100" w:after="100"/>
        <w:ind w:start="360"/>
        <w:ind w:firstLine="360"/>
      </w:pPr>
      <w:r>
        <w:rPr/>
      </w:r>
      <w:r>
        <w:rPr/>
      </w:r>
      <w:r>
        <w:t xml:space="preserve">Any railroad corporation may purchase, or take and hold as for public uses, land and materials necessary for making any changes authorized by </w:t>
      </w:r>
      <w:r>
        <w:t>section 6003</w:t>
      </w:r>
      <w:r>
        <w:t xml:space="preserve">, in the manner authorized by its charter or the general provisions of law and may cross highways and town ways in accordance with the law regulating those crossings.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§6004. Land taken for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Land taken for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§6004. LAND TAKEN FOR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