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Commissioners' report of damages and rights of parties; notice</w:t>
      </w:r>
    </w:p>
    <w:p>
      <w:pPr>
        <w:jc w:val="both"/>
        <w:spacing w:before="100" w:after="100"/>
        <w:ind w:start="360"/>
        <w:ind w:firstLine="360"/>
      </w:pPr>
      <w:r>
        <w:rPr/>
      </w:r>
      <w:r>
        <w:rPr/>
      </w:r>
      <w:r>
        <w:t xml:space="preserve">The county commissioners shall at a regular session make a report of their general estimate of damages, stating specifically the terms and conditions imposed by them, the rights and obligations of each party and the elements of damage as provided for land taken for highway purposes under </w:t>
      </w:r>
      <w:r>
        <w:t>section 154, subsections 2</w:t>
      </w:r>
      <w:r>
        <w:t xml:space="preserve">, </w:t>
      </w:r>
      <w:r>
        <w:t>3</w:t>
      </w:r>
      <w:r>
        <w:t xml:space="preserve"> and </w:t>
      </w:r>
      <w:r>
        <w:t>4</w:t>
      </w:r>
      <w:r>
        <w:t xml:space="preserve">, and cause it to be recorded. Their clerk shall then make out a notice to each person, stating the amount of damages awarded to him and the elements of damage, which shall be served by an officer on those resident in the State and upon others, if any, by a publication 3 weeks successively in a newspaper printed in the county, if any or, if not, in the state paper. The expense of notices shall be added to the costs of the proceedings and paid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§6011. Commissioners' report of damages and rights of parties;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Commissioners' report of damages and rights of parties;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§6011. COMMISSIONERS' REPORT OF DAMAGES AND RIGHTS OF PARTIES;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