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w:t>
        <w:t xml:space="preserve">.  </w:t>
      </w:r>
      <w:r>
        <w:rPr>
          <w:b/>
        </w:rPr>
        <w:t xml:space="preserve">Breach of injunction</w:t>
      </w:r>
    </w:p>
    <w:p>
      <w:pPr>
        <w:jc w:val="both"/>
        <w:spacing w:before="100" w:after="100"/>
        <w:ind w:start="360"/>
        <w:ind w:firstLine="360"/>
      </w:pPr>
      <w:r>
        <w:rPr/>
      </w:r>
      <w:r>
        <w:rPr/>
      </w:r>
      <w:r>
        <w:t xml:space="preserve">The court may order persons violating the injunction, after service or using the land, to show cause at a time fixed, why a decree should not be entered and execution issued against them individually and their goods and estate, for the damages, interest, costs and for additional damages and costs for breach of the injunction. Upon service and return of the order, the court may enter such decree as is just and equitable against those persons and issue execution accordingly or may proceed against them as for breach of injunction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§6016. Breach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 Breach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§6016. BREACH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