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Company liable for trespasses on adjoining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§6024. COMPANY LIABLE FOR TRESPASSES ON ADJOINING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