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6076</w:t>
        <w:t xml:space="preserve">.  </w:t>
      </w:r>
      <w:r>
        <w:rPr>
          <w:b/>
        </w:rPr>
        <w:t xml:space="preserve">Disposition of persons arrested</w:t>
      </w:r>
    </w:p>
    <w:p>
      <w:pPr>
        <w:jc w:val="both"/>
        <w:spacing w:before="100" w:after="100"/>
        <w:ind w:start="360"/>
        <w:ind w:firstLine="360"/>
      </w:pPr>
      <w:r>
        <w:rPr/>
      </w:r>
      <w:r>
        <w:rPr/>
      </w:r>
      <w:r>
        <w:t xml:space="preserve">The keepers of jails, lockups and station houses in any county, city or town, shall receive all persons arrested by railroad police for the commission of any offense against the laws of this State, or the ordinances of any city or town, to be dealt with according to law and persons arrested shall be received by keepers of jails, lockups or station houses and those persons have the same status as other persons arrested by any other police or peace officer of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§6076. Disposition of persons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§6076. Disposition of persons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§6076. DISPOSITION OF PERSONS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