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7009</w:t>
        <w:t xml:space="preserve">.  </w:t>
      </w:r>
      <w:r>
        <w:rPr>
          <w:b/>
        </w:rPr>
        <w:t xml:space="preserve">Stranger entering or leaving moving train; liability of corporation not affected</w:t>
      </w:r>
    </w:p>
    <w:p>
      <w:pPr>
        <w:jc w:val="both"/>
        <w:spacing w:before="100" w:after="100"/>
        <w:ind w:start="360"/>
        <w:ind w:firstLine="360"/>
      </w:pPr>
      <w:r>
        <w:rPr/>
      </w:r>
      <w:r>
        <w:rPr/>
      </w:r>
      <w:r>
        <w:t xml:space="preserve">Any person, other than a servant or employee of the road, or a passenger holding a ticket for a passage over the road, or mail agent or expressman, who gets upon or leaves any steam engine, tender or car at any place outside of a railroad station while that engine, tender or car is in motion, shall be punished by a fine of not more than $10 or by imprisonment for not more than 30 days. This provision does not affect the liability of any railroad corporation for injuries or damages caused by the fault or negligence of the corporation or its servants.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§7009. Stranger entering or leaving moving train; liability of corporation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§7009. Stranger entering or leaving moving train; liability of corporation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§7009. STRANGER ENTERING OR LEAVING MOVING TRAIN; LIABILITY OF CORPORATION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