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Town agents may vote on town stock</w:t>
      </w:r>
    </w:p>
    <w:p>
      <w:pPr>
        <w:jc w:val="both"/>
        <w:spacing w:before="100" w:after="100"/>
        <w:ind w:start="360"/>
        <w:ind w:firstLine="360"/>
      </w:pPr>
      <w:r>
        <w:rPr/>
      </w:r>
      <w:r>
        <w:rPr/>
      </w:r>
      <w:r>
        <w:t xml:space="preserve">When a city or town holds stock in a railroad, the municipal officers, or an agent appointed by them in writing, may vote at any meeting of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§7085. Town agents may vote on town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Town agents may vote on town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§7085. TOWN AGENTS MAY VOTE ON TOWN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