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7229</w:t>
        <w:t xml:space="preserve">.  </w:t>
      </w:r>
      <w:r>
        <w:rPr>
          <w:b/>
        </w:rPr>
        <w:t xml:space="preserve">Maintenance charges for private crossings</w:t>
      </w:r>
    </w:p>
    <w:p>
      <w:pPr>
        <w:jc w:val="both"/>
        <w:spacing w:before="100" w:after="100"/>
        <w:ind w:start="360"/>
        <w:ind w:firstLine="360"/>
      </w:pPr>
      <w:r>
        <w:rPr/>
      </w:r>
      <w:r>
        <w:rPr/>
      </w:r>
      <w:r>
        <w:t xml:space="preserve">In a municipality in which a private way is crossed by a railroad crossing, the municipal officers may act as agents for a railroad corporation in collecting maintenance and insurance charges from those persons using that crossing. Nothing in this section may authorize a municipality to assess or levy these charges nor to use its taxing power to collect these charges.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§7229. Maintenance charges for private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§7229. Maintenance charges for private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§7229. MAINTENANCE CHARGES FOR PRIVATE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