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8007</w:t>
        <w:t xml:space="preserve">.  </w:t>
      </w:r>
      <w:r>
        <w:rPr>
          <w:b/>
        </w:rPr>
        <w:t xml:space="preserve">Federal funds</w:t>
      </w:r>
    </w:p>
    <w:p>
      <w:pPr>
        <w:jc w:val="both"/>
        <w:spacing w:before="100" w:after="100"/>
        <w:ind w:start="360"/>
        <w:ind w:firstLine="360"/>
      </w:pPr>
      <w:r>
        <w:rPr/>
      </w:r>
      <w:r>
        <w:rPr/>
      </w:r>
      <w:r>
        <w:t xml:space="preserve">The authority may take all actions consistent with this chapter necessary to qualify for, accept and disburse any money that the Federal Government may grant or loan to the authority to fund any actions required of the authority under the terms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§8007.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§8007.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§8007.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