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8008</w:t>
        <w:t xml:space="preserve">.  </w:t>
      </w:r>
      <w:r>
        <w:rPr>
          <w:b/>
        </w:rPr>
        <w:t xml:space="preserve">Government agencies</w:t>
      </w:r>
    </w:p>
    <w:p>
      <w:pPr>
        <w:jc w:val="both"/>
        <w:spacing w:before="100" w:after="100"/>
        <w:ind w:start="360"/>
        <w:ind w:firstLine="360"/>
      </w:pPr>
      <w:r>
        <w:rPr/>
      </w:r>
      <w:r>
        <w:rPr/>
      </w:r>
      <w:r>
        <w:t xml:space="preserve">Any government agency may allocate money and take other actions that may aid in the implementation of this chapter.  The authority may provide funds, including loans and matching grants, to government agencies in order to encourage their participation in implementing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§8008. Government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§8008. Government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§8008. GOVERNMENT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