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Contracts</w:t>
      </w:r>
    </w:p>
    <w:p>
      <w:pPr>
        <w:jc w:val="both"/>
        <w:spacing w:before="100" w:after="100"/>
        <w:ind w:start="360"/>
        <w:ind w:firstLine="360"/>
      </w:pPr>
      <w:r>
        <w:rPr/>
      </w:r>
      <w:r>
        <w:rPr/>
      </w:r>
      <w:r>
        <w:t xml:space="preserve">The department may enter into agreements with individuals or organizations who wish to plant grasses, vines, trees or flowers, or to make gifts or appropriations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§952.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