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INVESTMENTS</w:t>
      </w:r>
    </w:p>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jc w:val="both"/>
        <w:spacing w:before="100" w:after="100"/>
        <w:ind w:start="1080" w:hanging="720"/>
      </w:pPr>
      <w:r>
        <w:rPr>
          <w:b/>
        </w:rPr>
        <w:t>§</w:t>
        <w:t>1107</w:t>
        <w:t xml:space="preserve">.  </w:t>
      </w:r>
      <w:r>
        <w:rPr>
          <w:b/>
        </w:rPr>
        <w:t xml:space="preserve">Public obligations</w:t>
      </w:r>
    </w:p>
    <w:p>
      <w:pPr>
        <w:jc w:val="both"/>
        <w:spacing w:before="100" w:after="100"/>
        <w:ind w:start="360"/>
        <w:ind w:firstLine="360"/>
      </w:pPr>
      <w:r>
        <w:rPr/>
      </w:r>
      <w:r>
        <w:rPr/>
      </w:r>
      <w:r>
        <w:t xml:space="preserve">An insurer may invest in bonds or other evidences of indebtedness, not in default as to principal or interest, which are valid and legally authorized obligations issued, assumed or guaranteed by the United States or by any state thereof, or by Canada or any of the provinces thereof, or by any county, city, town, village, municipality or district therein or by any political subdivision thereof or by a public instrumentality of one or more of the foregoing, if, by statutory or other legal requirements applicable thereto, such obligations are payable, as to both principal and interest, from: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Taxes levied or by law required to be levied upon all taxable property or all taxable income within the jurisdiction of such governmental unit, or 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Adequate special revenues pledged or otherwise appropriated or by law required to be provided for the purpose of such payment; but not including any obligation payable solely out of special assessments on properties benefited by local improvements unless adequate security is evidenced by the ratio of assessment to the value of the property or the obligation is additionally secured by an adequate guaranty fund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1108</w:t>
        <w:t xml:space="preserve">.  </w:t>
      </w:r>
      <w:r>
        <w:rPr>
          <w:b/>
        </w:rPr>
        <w:t xml:space="preserve">Obligations, stock of certain federal and international agencies</w:t>
      </w:r>
    </w:p>
    <w:p>
      <w:pPr>
        <w:jc w:val="both"/>
        <w:spacing w:before="100" w:after="100"/>
        <w:ind w:start="360"/>
        <w:ind w:firstLine="360"/>
      </w:pPr>
      <w:r>
        <w:rPr/>
      </w:r>
      <w:r>
        <w:rPr/>
      </w:r>
      <w:r>
        <w:t xml:space="preserve">An insurer may invest in the obligations, or stock where stated, issued, assumed or guaranteed by the following agencies of the government of the United States of America, or in which such government is a participant, whether or not such obligations are guaranteed by such government: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Farm Loan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Commodity Credit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Federal Intermediate Credit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Federal Land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Central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Federal Home Loan Banks, and stock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Federal National Mortgage Association, and stock thereof when acquired in connection with sale of mortgage loans to such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International Bank for Reconstruction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Inter-American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Asian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10-A</w:t>
        <w:t xml:space="preserve">.  </w:t>
      </w:r>
      <w:r>
        <w:rPr>
          <w:b/>
        </w:rPr>
      </w:r>
      <w:r>
        <w:t xml:space="preserve"> </w:t>
      </w:r>
      <w:r>
        <w:t xml:space="preserve">African Development Bank;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§36 (NEW).]</w:t>
      </w:r>
    </w:p>
    <w:p>
      <w:pPr>
        <w:jc w:val="both"/>
        <w:spacing w:before="100" w:after="0"/>
        <w:ind w:start="360"/>
        <w:ind w:firstLine="360"/>
      </w:pPr>
      <w:r>
        <w:rPr>
          <w:b/>
        </w:rPr>
        <w:t>11</w:t>
        <w:t xml:space="preserve">.  </w:t>
      </w:r>
      <w:r>
        <w:rPr>
          <w:b/>
        </w:rPr>
      </w:r>
      <w:r>
        <w:t xml:space="preserve"> </w:t>
      </w:r>
      <w:r>
        <w:t xml:space="preserve">Any other similar agency of, or participated in by, the government of the United States of America and of similar financial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405, §36 (AMD). </w:t>
      </w:r>
    </w:p>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1119</w:t>
        <w:t xml:space="preserve">.  </w:t>
      </w:r>
      <w:r>
        <w:rPr>
          <w:b/>
        </w:rPr>
        <w:t xml:space="preserve">Savings and loan institutions</w:t>
      </w:r>
    </w:p>
    <w:p>
      <w:pPr>
        <w:jc w:val="both"/>
        <w:spacing w:before="100" w:after="100"/>
        <w:ind w:start="360"/>
        <w:ind w:firstLine="360"/>
      </w:pPr>
      <w:r>
        <w:rPr/>
      </w:r>
      <w:r>
        <w:rPr/>
      </w:r>
      <w:r>
        <w:t xml:space="preserve">An insurer may invest in the shares of savings and loan or buildings and loan associations or in the savings accounts of federal savings and loan associations, to the extent that the investment or account is insured by the Federal Savings and Loan Insurance Corporation pursuant to the National Housing Act of 1934, as amended.</w:t>
      </w:r>
      <w:r>
        <w:t xml:space="preserve">  </w:t>
      </w:r>
      <w:r xmlns:wp="http://schemas.openxmlformats.org/drawingml/2010/wordprocessingDrawing" xmlns:w15="http://schemas.microsoft.com/office/word/2012/wordml">
        <w:rPr>
          <w:rFonts w:ascii="Arial" w:hAnsi="Arial" w:cs="Arial"/>
          <w:sz w:val="22"/>
          <w:szCs w:val="22"/>
        </w:rPr>
        <w:t xml:space="preserve">[PL 1969, c. 177,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§24 (AMD). </w:t>
      </w:r>
    </w:p>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1122</w:t>
        <w:t xml:space="preserve">.  </w:t>
      </w:r>
      <w:r>
        <w:rPr>
          <w:b/>
        </w:rPr>
        <w:t xml:space="preserve">Policy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§8 (RP). </w:t>
      </w:r>
    </w:p>
    <w:p>
      <w:pPr>
        <w:jc w:val="both"/>
        <w:spacing w:before="100" w:after="100"/>
        <w:ind w:start="1080" w:hanging="720"/>
      </w:pPr>
      <w:r>
        <w:rPr>
          <w:b/>
        </w:rPr>
        <w:t>§</w:t>
        <w:t>1123</w:t>
        <w:t xml:space="preserve">.  </w:t>
      </w:r>
      <w:r>
        <w:rPr>
          <w:b/>
        </w:rPr>
        <w:t xml:space="preserve">Collateral loans</w:t>
      </w:r>
    </w:p>
    <w:p>
      <w:pPr>
        <w:jc w:val="both"/>
        <w:spacing w:before="100" w:after="100"/>
        <w:ind w:start="360"/>
        <w:ind w:firstLine="360"/>
      </w:pPr>
      <w:r>
        <w:rPr/>
      </w:r>
      <w:r>
        <w:rPr/>
      </w:r>
      <w:r>
        <w:t xml:space="preserve">An insurer may lend and thereby invest its funds upon the pledge of securities eligible for investment under this chapter. As at date made, no such loan shall exceed in amount 90% of the market value of such collateral pledged. The amount so loaned shall be included pro rata in determining the maximum percentage of funds permitted under this chapter to be invested in the respective categories of securities so pledged.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jc w:val="both"/>
        <w:spacing w:before="100" w:after="100"/>
        <w:ind w:start="1080" w:hanging="720"/>
      </w:pPr>
      <w:r>
        <w:rPr>
          <w:b/>
        </w:rPr>
        <w:t>§</w:t>
        <w:t>1129</w:t>
        <w:t xml:space="preserve">.  </w:t>
      </w:r>
      <w:r>
        <w:rPr>
          <w:b/>
        </w:rPr>
        <w:t xml:space="preserve">Special investments of title insurers</w:t>
      </w:r>
    </w:p>
    <w:p>
      <w:pPr>
        <w:jc w:val="both"/>
        <w:spacing w:before="100" w:after="0"/>
        <w:ind w:start="360"/>
        <w:ind w:firstLine="360"/>
      </w:pPr>
      <w:r>
        <w:rPr>
          <w:b/>
        </w:rPr>
        <w:t>1</w:t>
        <w:t xml:space="preserve">.  </w:t>
      </w:r>
      <w:r>
        <w:rPr>
          <w:b/>
        </w:rPr>
      </w:r>
      <w:r>
        <w:t xml:space="preserve"> </w:t>
      </w:r>
      <w:r>
        <w:t xml:space="preserve">A title insurer may also have invested funds in an amount not exceeding 50% of its paid-in capital stock and its surplus, in its abstract plant and equipment and in stocks of abstract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Investments authorized under </w:t>
      </w:r>
      <w:r>
        <w:t>subsection 1</w:t>
      </w:r>
      <w:r>
        <w:t xml:space="preserve"> shall not be credited against required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