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MAINE PRODUCT LIABILITY RISK RETENTION ACT</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6003</w:t>
        <w:t xml:space="preserve">.  </w:t>
      </w:r>
      <w:r>
        <w:rPr>
          <w:b/>
        </w:rPr>
        <w:t xml:space="preserve">Risk retention groups organized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6005</w:t>
        <w:t xml:space="preserve">.  </w:t>
      </w:r>
      <w:r>
        <w:rPr>
          <w:b/>
        </w:rPr>
        <w:t xml:space="preserve">Agents and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6008</w:t>
        <w:t xml:space="preserve">.  </w:t>
      </w:r>
      <w:r>
        <w:rPr>
          <w:b/>
        </w:rPr>
        <w:t xml:space="preserve">Exemption from compulsory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6009</w:t>
        <w:t xml:space="preserve">.  </w:t>
      </w:r>
      <w:r>
        <w:rPr>
          <w:b/>
        </w:rPr>
        <w:t xml:space="preserve">Examination for financial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6010</w:t>
        <w:t xml:space="preserve">.  </w:t>
      </w:r>
      <w:r>
        <w:rPr>
          <w:b/>
        </w:rPr>
        <w:t xml:space="preserve">Delinquency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69. MAINE PRODUCT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