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Special investments of title insurers</w:t>
      </w:r>
    </w:p>
    <w:p>
      <w:pPr>
        <w:jc w:val="both"/>
        <w:spacing w:before="100" w:after="0"/>
        <w:ind w:start="360"/>
        <w:ind w:firstLine="360"/>
      </w:pPr>
      <w:r>
        <w:rPr>
          <w:b/>
        </w:rPr>
        <w:t>1</w:t>
        <w:t xml:space="preserve">.  </w:t>
      </w:r>
      <w:r>
        <w:rPr>
          <w:b/>
        </w:rPr>
      </w:r>
      <w:r>
        <w:t xml:space="preserve"> </w:t>
      </w:r>
      <w:r>
        <w:t xml:space="preserve">A title insurer may also have invested funds in an amount not exceeding 50% of its paid-in capital stock and its surplus, in its abstract plant and equipment and in stocks of abstract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Investments authorized under </w:t>
      </w:r>
      <w:r>
        <w:t>subsection 1</w:t>
      </w:r>
      <w:r>
        <w:t xml:space="preserve"> shall not be credited against required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§1129. Special investments of title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Special investments of title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§1129. SPECIAL INVESTMENTS OF TITLE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