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Time limit for disposal of real estate</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or unless the insurer elects to hold the real estate as an investment under </w:t>
      </w:r>
      <w:r>
        <w:t>section 1125, subsection 1, paragraph G</w:t>
      </w:r>
      <w:r>
        <w:t xml:space="preserve">:</w:t>
      </w:r>
    </w:p>
    <w:p>
      <w:pPr>
        <w:jc w:val="both"/>
        <w:spacing w:before="100" w:after="0"/>
        <w:ind w:start="720"/>
      </w:pPr>
      <w:r>
        <w:rPr/>
        <w:t>A</w:t>
        <w:t xml:space="preserve">.  </w:t>
      </w:r>
      <w:r>
        <w:rPr/>
      </w:r>
      <w:r>
        <w:t xml:space="preserve">An insurer shall dispose of real estate acquired under </w:t>
      </w:r>
      <w:r>
        <w:t>section 1125, subsection 1, paragraph A</w:t>
      </w:r>
      <w:r>
        <w:t xml:space="preserve">, within 5 years after it has ceased to be necessary for the convenient accommodation of the insurer in the transaction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insurer shall dispose of real estate acquired under </w:t>
      </w:r>
      <w:r>
        <w:t>section 1125, subsection 1, paragraphs B</w:t>
      </w:r>
      <w:r>
        <w:t xml:space="preserve">, </w:t>
      </w:r>
      <w:r>
        <w:t>C</w:t>
      </w:r>
      <w:r>
        <w:t xml:space="preserve"> or </w:t>
      </w:r>
      <w:r>
        <w:t>E</w:t>
      </w:r>
      <w:r>
        <w:t xml:space="preserve">, within 5 years after the date of acquisition, unless used or to be used for the insurer's accommodation under </w:t>
      </w:r>
      <w:r>
        <w:t>section 1125,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Upon proof satisfactory to the superintendent that the interests of the insurer will suffer materially by the forced sale thereof, the superintendent may by order grant a reasonable extension of the period, as specified in such order, within which the insurer shall dispose of any particular parcel of such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§1133. Time limit for disposal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Time limit for disposal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§1133. TIME LIMIT FOR DISPOSAL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