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Special investments; separate accounts</w:t>
      </w:r>
    </w:p>
    <w:p>
      <w:pPr>
        <w:jc w:val="both"/>
        <w:spacing w:before="100" w:after="100"/>
        <w:ind w:start="360"/>
        <w:ind w:firstLine="360"/>
      </w:pPr>
      <w:r>
        <w:rPr>
          <w:b/>
        </w:rPr>
        <w:t>1</w:t>
        <w:t xml:space="preserve">.  </w:t>
      </w:r>
      <w:r>
        <w:rPr>
          <w:b/>
        </w:rPr>
        <w:t xml:space="preserve">Special investments.</w:t>
        <w:t xml:space="preserve"> </w:t>
      </w:r>
      <w:r>
        <w:t xml:space="preserve"> </w:t>
      </w:r>
      <w:r>
        <w:t xml:space="preserve">Except as may be provided with respect to reserves for guaranteed benefits and funds referred to in </w:t>
      </w:r>
      <w:r>
        <w:t>subsection 2</w:t>
      </w:r>
      <w:r>
        <w:t xml:space="preserve">:</w:t>
      </w:r>
    </w:p>
    <w:p>
      <w:pPr>
        <w:jc w:val="both"/>
        <w:spacing w:before="100" w:after="0"/>
        <w:ind w:start="720"/>
      </w:pPr>
      <w:r>
        <w:rPr/>
        <w:t>A</w:t>
        <w:t xml:space="preserve">.  </w:t>
      </w:r>
      <w:r>
        <w:rPr/>
      </w:r>
      <w:r>
        <w:t xml:space="preserve">Amounts allocated to any separate account established by the insurer pursuant to </w:t>
      </w:r>
      <w:r>
        <w:t>section 2537</w:t>
      </w:r>
      <w:r>
        <w:t xml:space="preserve">, separate accounts and accumulations on those accounts may be invested and reinvested without regard to any requirements or limitations prescribed by this chapter except for the provisions of </w:t>
      </w:r>
      <w:r>
        <w:t>section 1156,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Except as provided in </w:t>
      </w:r>
      <w:r>
        <w:t>subsection 2, paragraph B</w:t>
      </w:r>
      <w:r>
        <w:t xml:space="preserve">, the investments in that separate account or accounts may not be taken into account in applying the investment limitations otherwise applicable to the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Separate accounts.</w:t>
        <w:t xml:space="preserve"> </w:t>
      </w:r>
      <w:r>
        <w:t xml:space="preserve"> </w:t>
      </w:r>
      <w:r>
        <w:t xml:space="preserve">Except with the approval of the superintendent and under such conditions as to investments and other matters as the superintendent may prescribe, which must recognize the guaranteed nature of the benefits provided, an insurer may not guarantee the value of the assets allocated to a separate account, or any interest in that account, or the investment results of that account, or the income from that account, to a contract holder, without limitation of liability under all those guarantees to the extent of the interest of the contract holder in assets allocated to that separate account, unless:</w:t>
      </w:r>
    </w:p>
    <w:p>
      <w:pPr>
        <w:jc w:val="both"/>
        <w:spacing w:before="100" w:after="0"/>
        <w:ind w:start="720"/>
      </w:pPr>
      <w:r>
        <w:rPr/>
        <w:t>A</w:t>
        <w:t xml:space="preserve">.  </w:t>
      </w:r>
      <w:r>
        <w:rPr/>
      </w:r>
      <w:r>
        <w:t xml:space="preserve">To the extent that the applicable agreements provide that the assets in that separate account are not chargeable with liabilities arising out of any other business of the insurer, the assets allocated to that separate account are invested subject to the requirements and limitations on investments imposed by </w:t>
      </w:r>
      <w:r>
        <w:t>section 1156, subsection 2</w:t>
      </w:r>
      <w:r>
        <w:t xml:space="preserve">, as though the aggregate assets allocated to that separate account were the insurer's total admitted assets; or</w:t>
      </w:r>
      <w:r>
        <w:t xml:space="preserve">  </w:t>
      </w:r>
      <w:r xmlns:wp="http://schemas.openxmlformats.org/drawingml/2010/wordprocessingDrawing" xmlns:w15="http://schemas.microsoft.com/office/word/2012/wordml">
        <w:rPr>
          <w:rFonts w:ascii="Arial" w:hAnsi="Arial" w:cs="Arial"/>
          <w:sz w:val="22"/>
          <w:szCs w:val="22"/>
        </w:rPr>
        <w:t xml:space="preserve">[RR 2021, c. 1, Pt. B, §192 (COR).]</w:t>
      </w:r>
    </w:p>
    <w:p>
      <w:pPr>
        <w:jc w:val="both"/>
        <w:spacing w:before="100" w:after="0"/>
        <w:ind w:start="720"/>
      </w:pPr>
      <w:r>
        <w:rPr/>
        <w:t>B</w:t>
        <w:t xml:space="preserve">.  </w:t>
      </w:r>
      <w:r>
        <w:rPr/>
      </w:r>
      <w:r>
        <w:t xml:space="preserve">The assets allocated to that separate account are invested subject to the requirements and limitations on investments imposed by </w:t>
      </w:r>
      <w:r>
        <w:t>section 1156, subsection 2</w:t>
      </w:r>
      <w:r>
        <w:t xml:space="preserve">, as though they were part of the general assets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RR 2021, c. 1, Pt. B,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§1159.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