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Trade names</w:t>
      </w:r>
    </w:p>
    <w:p>
      <w:pPr>
        <w:jc w:val="both"/>
        <w:spacing w:before="100" w:after="100"/>
        <w:ind w:start="360"/>
        <w:ind w:firstLine="360"/>
      </w:pPr>
      <w:r>
        <w:rPr/>
      </w:r>
      <w:r>
        <w:rPr/>
      </w:r>
      <w:r>
        <w:t xml:space="preserve">A licensee doing business under any name other than the licensee's legal name is required to notify the superintendent prior to using the trade name.</w:t>
      </w:r>
      <w:r>
        <w:t xml:space="preserve">  </w:t>
      </w:r>
      <w:r xmlns:wp="http://schemas.openxmlformats.org/drawingml/2010/wordprocessingDrawing" xmlns:w15="http://schemas.microsoft.com/office/word/2012/wordml">
        <w:rPr>
          <w:rFonts w:ascii="Arial" w:hAnsi="Arial" w:cs="Arial"/>
          <w:sz w:val="22"/>
          <w:szCs w:val="22"/>
        </w:rPr>
        <w:t xml:space="preserve">[PL 2001, c. 259,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§1414. Trade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Trade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§1414. TRADE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