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w:t>
        <w:t xml:space="preserve">.  </w:t>
      </w:r>
      <w:r>
        <w:rPr>
          <w:b/>
        </w:rPr>
        <w:t xml:space="preserve">Licensing forms</w:t>
      </w:r>
    </w:p>
    <w:p>
      <w:pPr>
        <w:jc w:val="both"/>
        <w:spacing w:before="100" w:after="100"/>
        <w:ind w:start="360"/>
        <w:ind w:firstLine="360"/>
      </w:pPr>
      <w:r>
        <w:rPr/>
      </w:r>
      <w:r>
        <w:rPr/>
      </w:r>
      <w:r>
        <w:t xml:space="preserve">The superintendent or an independent licensing service designated by the superintendent shall prescribe, consistent with the applicable requirements of this chapter, and furnish all forms required under this chapter in connection with applications for and issuance of licenses.  The superintendent or an independent testing service designated by the superintendent shall prescribe and furnish all forms required in connection with examinations for licenses.</w:t>
      </w:r>
      <w:r>
        <w:t xml:space="preserve">  </w:t>
      </w:r>
      <w:r xmlns:wp="http://schemas.openxmlformats.org/drawingml/2010/wordprocessingDrawing" xmlns:w15="http://schemas.microsoft.com/office/word/2012/wordml">
        <w:rPr>
          <w:rFonts w:ascii="Arial" w:hAnsi="Arial" w:cs="Arial"/>
          <w:sz w:val="22"/>
          <w:szCs w:val="22"/>
        </w:rPr>
        <w:t xml:space="preserve">[PL 1997, c. 592,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 Licensing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 Licensing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§1421. LICENSING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