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Applicability</w:t>
      </w:r>
    </w:p>
    <w:p>
      <w:pPr>
        <w:jc w:val="both"/>
        <w:spacing w:before="100" w:after="0"/>
        <w:ind w:start="360"/>
        <w:ind w:firstLine="360"/>
      </w:pPr>
      <w:r>
        <w:rPr>
          <w:b/>
        </w:rPr>
        <w:t>1</w:t>
        <w:t xml:space="preserve">.  </w:t>
      </w:r>
      <w:r>
        <w:rPr>
          <w:b/>
        </w:rPr>
        <w:t xml:space="preserve">Licensed resident producers.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§39 (RP).]</w:t>
      </w:r>
    </w:p>
    <w:p>
      <w:pPr>
        <w:jc w:val="both"/>
        <w:spacing w:before="100" w:after="0"/>
        <w:ind w:start="360"/>
        <w:ind w:firstLine="360"/>
      </w:pPr>
      <w:r>
        <w:rPr>
          <w:b/>
        </w:rPr>
        <w:t>1-A</w:t>
        <w:t xml:space="preserve">.  </w:t>
      </w:r>
      <w:r>
        <w:rPr>
          <w:b/>
        </w:rPr>
        <w:t xml:space="preserve">Licensed producers.</w:t>
        <w:t xml:space="preserve"> </w:t>
      </w:r>
      <w:r>
        <w:t xml:space="preserve"> </w:t>
      </w:r>
      <w:r>
        <w:t xml:space="preserve">This subchapter applies to licensed resident and nonresident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§§39,40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