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1485</w:t>
        <w:t xml:space="preserve">.  </w:t>
      </w:r>
      <w:r>
        <w:rPr>
          <w:b/>
        </w:rPr>
        <w:t xml:space="preserve">Rule-making authority</w:t>
      </w:r>
    </w:p>
    <w:p>
      <w:pPr>
        <w:jc w:val="both"/>
        <w:spacing w:before="100" w:after="100"/>
        <w:ind w:start="360"/>
        <w:ind w:firstLine="360"/>
      </w:pPr>
      <w:r>
        <w:rPr/>
      </w:r>
      <w:r>
        <w:rPr/>
      </w:r>
      <w:r>
        <w:t xml:space="preserve">The superintendent may establish by rule reasonable procedures and standards to fulfill the purposes of this subchapter and may contract with third parties for the purpose of fulfilling responsibilities under this subchapter.  Rules adopted pursuant to this subchapter are routine technical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457, §23 (NEW); PL 1997, c. 457, §55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§1485. Rule-making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§1485. Rule-making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§1485. RULE-MAKING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