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NAIC defined</w:t>
      </w:r>
    </w:p>
    <w:p>
      <w:pPr>
        <w:jc w:val="both"/>
        <w:spacing w:before="100" w:after="100"/>
        <w:ind w:start="360"/>
        <w:ind w:firstLine="360"/>
      </w:pPr>
      <w:r>
        <w:rPr/>
      </w:r>
      <w:r>
        <w:rPr/>
      </w:r>
      <w:r>
        <w:t xml:space="preserve">As used in this Title, “NAIC” or “National Association of Insurance Commissioners” means the National Association of Insurance Commissioners or its successor organization of insurance regulators.</w:t>
      </w:r>
      <w:r>
        <w:t xml:space="preserve">  </w:t>
      </w:r>
      <w:r xmlns:wp="http://schemas.openxmlformats.org/drawingml/2010/wordprocessingDrawing" xmlns:w15="http://schemas.microsoft.com/office/word/2012/wordml">
        <w:rPr>
          <w:rFonts w:ascii="Arial" w:hAnsi="Arial" w:cs="Arial"/>
          <w:sz w:val="22"/>
          <w:szCs w:val="22"/>
        </w:rPr>
        <w:t xml:space="preserve">[PL 2021, c. 521,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 NAIC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NAIC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 NAIC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