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Unauthorized Insurers Process Act; title; interpretation</w:t>
      </w:r>
    </w:p>
    <w:p>
      <w:pPr>
        <w:jc w:val="both"/>
        <w:spacing w:before="100" w:after="0"/>
        <w:ind w:start="360"/>
        <w:ind w:firstLine="360"/>
      </w:pPr>
      <w:r>
        <w:rPr>
          <w:b/>
        </w:rPr>
        <w:t>1</w:t>
        <w:t xml:space="preserve">.  </w:t>
      </w:r>
      <w:r>
        <w:rPr>
          <w:b/>
        </w:rPr>
      </w:r>
      <w:r>
        <w:t xml:space="preserve"> </w:t>
      </w:r>
      <w:r>
        <w:t>Sections 2102</w:t>
      </w:r>
      <w:r>
        <w:t xml:space="preserve"> to </w:t>
      </w:r>
      <w:r>
        <w:t>2108</w:t>
      </w:r>
      <w:r>
        <w:t xml:space="preserve"> constitute and may be cited as the Unauthorized Insurers Process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§31 (AMD).]</w:t>
      </w:r>
    </w:p>
    <w:p>
      <w:pPr>
        <w:jc w:val="both"/>
        <w:spacing w:before="100" w:after="0"/>
        <w:ind w:start="360"/>
        <w:ind w:firstLine="360"/>
      </w:pPr>
      <w:r>
        <w:rPr>
          <w:b/>
        </w:rPr>
        <w:t>2</w:t>
        <w:t xml:space="preserve">.  </w:t>
      </w:r>
      <w:r>
        <w:rPr>
          <w:b/>
        </w:rPr>
      </w:r>
      <w:r>
        <w:t xml:space="preserve"> </w:t>
      </w:r>
      <w:r>
        <w:t xml:space="preserve">The Act shall be so interpreted as to effectuate its general purpose to make uniform the laws of those states which enact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§2103. Unauthorized Insurers Process Act; title;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Unauthorized Insurers Process Act; title;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§2103. UNAUTHORIZED INSURERS PROCESS ACT; TITLE;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