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2155-A</w:t>
        <w:t xml:space="preserve">.  </w:t>
      </w:r>
      <w:r>
        <w:rPr>
          <w:b/>
        </w:rPr>
        <w:t xml:space="preserve">Dumping prohibited</w:t>
      </w:r>
    </w:p>
    <w:p>
      <w:pPr>
        <w:jc w:val="both"/>
        <w:spacing w:before="100" w:after="100"/>
        <w:ind w:start="360"/>
        <w:ind w:firstLine="360"/>
      </w:pPr>
      <w:r>
        <w:rPr/>
      </w:r>
      <w:r>
        <w:rPr/>
      </w:r>
      <w:r>
        <w:t xml:space="preserve">The guaranteed issue requirements of </w:t>
      </w:r>
      <w:r>
        <w:t>section 2736‑C</w:t>
      </w:r>
      <w:r>
        <w:t xml:space="preserve"> may not be used by insurers, health maintenance organizations, agents, brokers, consultants or any other persons to provide separate coverage to an employee or dependent with a health condition to improve the claims experience of an employer-sponsored group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370,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§2155-A. Dumping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§2155-A. Dumping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§2155-A. DUMPING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