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Immunity</w:t>
      </w:r>
    </w:p>
    <w:p>
      <w:pPr>
        <w:jc w:val="both"/>
        <w:spacing w:before="100" w:after="100"/>
        <w:ind w:start="360"/>
        <w:ind w:firstLine="360"/>
      </w:pPr>
      <w:r>
        <w:rPr/>
      </w:r>
      <w:r>
        <w:rPr/>
      </w:r>
      <w:r>
        <w:t xml:space="preserve">No cause of action in the nature of defamation, invasion of privacy or negligence arises against any person for disclosing personal information in accordance with this chapter, nor does such a cause of action arise against any person for furnishing personal information to a regulated insurance entity or insurance support organization.  This section provides no immunity for disclosing or furnishing false information with malice or willful intent to injure any person.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