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Appraisal of asset</w:t>
      </w:r>
    </w:p>
    <w:p>
      <w:pPr>
        <w:jc w:val="both"/>
        <w:spacing w:before="100" w:after="0"/>
        <w:ind w:start="360"/>
        <w:ind w:firstLine="360"/>
      </w:pPr>
      <w:r>
        <w:rPr>
          <w:b/>
        </w:rPr>
        <w:t>1</w:t>
        <w:t xml:space="preserve">.  </w:t>
      </w:r>
      <w:r>
        <w:rPr>
          <w:b/>
        </w:rPr>
      </w:r>
      <w:r>
        <w:t xml:space="preserve"> </w:t>
      </w:r>
      <w:r>
        <w:t xml:space="preserve">If the superintendent considers it necessary to value any asset involved in such an examination, the superintendent may appoint one or more competent disinterested persons as appraisers with authority to appraise the real property of an insurer or any real property on which it holds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§9 (AMD).]</w:t>
      </w:r>
    </w:p>
    <w:p>
      <w:pPr>
        <w:jc w:val="both"/>
        <w:spacing w:before="100" w:after="0"/>
        <w:ind w:start="360"/>
        <w:ind w:firstLine="360"/>
      </w:pPr>
      <w:r>
        <w:rPr>
          <w:b/>
        </w:rPr>
        <w:t>2</w:t>
        <w:t xml:space="preserve">.  </w:t>
      </w:r>
      <w:r>
        <w:rPr>
          <w:b/>
        </w:rPr>
      </w:r>
      <w:r>
        <w:t xml:space="preserve"> </w:t>
      </w:r>
      <w:r>
        <w:t xml:space="preserve">Any such appraisal shall be expeditiously made, and a copy thereof furnished to the superintendent and to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reasonable expense of the appraisal shall be borne by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 Appraisal of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Appraisal of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 APPRAISAL OF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