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Examination report</w:t>
      </w:r>
    </w:p>
    <w:p>
      <w:pPr>
        <w:jc w:val="both"/>
        <w:spacing w:before="100" w:after="100"/>
        <w:ind w:start="360"/>
        <w:ind w:firstLine="360"/>
      </w:pPr>
      <w:r>
        <w:rPr/>
      </w:r>
      <w:r>
        <w:rPr/>
      </w:r>
      <w:r>
        <w:t xml:space="preserve">The report of examination of those persons, partnerships, corporations or other business associations that are subject to examination by the superintendent as provided for in </w:t>
      </w:r>
      <w:r>
        <w:t>sections 221</w:t>
      </w:r>
      <w:r>
        <w:t xml:space="preserve"> and </w:t>
      </w:r>
      <w:r>
        <w:t>222</w:t>
      </w:r>
      <w:r>
        <w:t xml:space="preserve"> must, upon satisfaction of the requirements of </w:t>
      </w:r>
      <w:r>
        <w:t>section 226</w:t>
      </w:r>
      <w:r>
        <w:t xml:space="preserve"> and so long as no court of competent jurisdiction has stayed its publication, be filed in the bureau as a public record, except that any information relating to an individual insured or individual applicant for insurance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320,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425, §2 (RPR). PL 1973, c. 585, §12 (AMD). PL 1991, c. 828, §12 (AMD). PL 2011, c. 320,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 Examination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Examination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§227. EXAMINATION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