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False or misleading information</w:t>
      </w:r>
    </w:p>
    <w:p>
      <w:pPr>
        <w:jc w:val="both"/>
        <w:spacing w:before="100" w:after="100"/>
        <w:ind w:start="360"/>
        <w:ind w:firstLine="360"/>
      </w:pPr>
      <w:r>
        <w:rPr>
          <w:b/>
        </w:rPr>
        <w:t>1</w:t>
        <w:t xml:space="preserve">.  </w:t>
      </w:r>
      <w:r>
        <w:rPr>
          <w:b/>
        </w:rPr>
      </w:r>
      <w:r>
        <w:t xml:space="preserve"> </w:t>
      </w:r>
      <w:r>
        <w:t xml:space="preserve">No person or organization shall wilfully withhold information from, or knowingly give false or misleading information to:</w:t>
      </w:r>
    </w:p>
    <w:p>
      <w:pPr>
        <w:jc w:val="both"/>
        <w:spacing w:before="100" w:after="0"/>
        <w:ind w:start="720"/>
      </w:pPr>
      <w:r>
        <w:rPr/>
        <w:t>A</w:t>
        <w:t xml:space="preserve">.  </w:t>
      </w:r>
      <w:r>
        <w:rPr/>
      </w:r>
      <w:r>
        <w:t xml:space="preserve">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Any statistical agency designated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Any rating or advisory organization, or any insurer which will affect the rates or premiums chargeable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797, §31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§31 (AMD); PL 1989, c. 797, §§37, 38 (AFF).]</w:t>
      </w:r>
    </w:p>
    <w:p>
      <w:pPr>
        <w:jc w:val="both"/>
        <w:spacing w:before="100" w:after="0"/>
        <w:ind w:start="360"/>
        <w:ind w:firstLine="360"/>
      </w:pPr>
      <w:r>
        <w:rPr>
          <w:b/>
        </w:rPr>
        <w:t>2</w:t>
        <w:t xml:space="preserve">.  </w:t>
      </w:r>
      <w:r>
        <w:rPr>
          <w:b/>
        </w:rPr>
      </w:r>
      <w:r>
        <w:t xml:space="preserve"> </w:t>
      </w:r>
      <w:r>
        <w:t xml:space="preserve">A violation of this section shall subject the one guilty of such violation to the penalties provided in </w:t>
      </w:r>
      <w:r>
        <w:t>section 2329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§§31,37,38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§2326. False or misleading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False or misleading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§2326. FALSE OR MISLEADING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