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2329</w:t>
        <w:t xml:space="preserve">.  </w:t>
      </w:r>
      <w:r>
        <w:rPr>
          <w:b/>
        </w:rPr>
        <w:t xml:space="preserve">Penalties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§32 (RP); PL 1989, c. 797, §§37, 38 (AFF).]</w:t>
      </w:r>
    </w:p>
    <w:p>
      <w:pPr>
        <w:jc w:val="both"/>
        <w:spacing w:before="100" w:after="0"/>
        <w:ind w:start="360"/>
        <w:ind w:firstLine="360"/>
      </w:pPr>
      <w:r>
        <w:rPr>
          <w:b/>
        </w:rPr>
        <w:t>2</w:t>
        <w:t xml:space="preserve">.  </w:t>
      </w:r>
      <w:r>
        <w:rPr>
          <w:b/>
        </w:rPr>
      </w:r>
      <w:r>
        <w:t xml:space="preserve"> </w:t>
      </w:r>
      <w:r>
        <w:t xml:space="preserve">The superintendent may, after notice and opportunity for hearing, deny, revoke, suspend or limit the permissible activities of any rating or advisory organization or insurer which fails to comply with an order of the superintendent within the time period provided by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§33 (AMD); PL 1989, c. 797, §§37, 38 (AFF).]</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§§420,421 (AMD). PL 1989, c. 797, §§32,33,37,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