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w:t>
        <w:t xml:space="preserve">.  </w:t>
      </w:r>
      <w:r>
        <w:rPr>
          <w:b/>
        </w:rPr>
        <w:t xml:space="preserve">Forms for proof of loss to be furnished</w:t>
      </w:r>
    </w:p>
    <w:p>
      <w:pPr>
        <w:jc w:val="both"/>
        <w:spacing w:before="100" w:after="100"/>
        <w:ind w:start="360"/>
        <w:ind w:firstLine="360"/>
      </w:pPr>
      <w:r>
        <w:rPr/>
      </w:r>
      <w:r>
        <w:rPr/>
      </w:r>
      <w:r>
        <w:t xml:space="preserve">An insurer shall furnish, upon written request of any person claiming to have a loss under an insurance contract issued by such insurer, forms of proof of loss for completion by such person, but such insurer shall not, by reason of the requirement so to furnish forms, have any responsibility for or with reference to the completion of such proof or the manner of any such completion or attempted completion.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§2423. Forms for proof of loss to be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 Forms for proof of loss to be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§2423. FORMS FOR PROOF OF LOSS TO BE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