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2438</w:t>
        <w:t xml:space="preserve">.  </w:t>
      </w:r>
      <w:r>
        <w:rPr>
          <w:b/>
        </w:rPr>
        <w:t xml:space="preserve">Short title</w:t>
      </w:r>
    </w:p>
    <w:p>
      <w:pPr>
        <w:jc w:val="both"/>
        <w:spacing w:before="100" w:after="100"/>
        <w:ind w:start="360"/>
        <w:ind w:firstLine="360"/>
      </w:pPr>
      <w:r>
        <w:rPr/>
      </w:r>
      <w:r>
        <w:rPr/>
      </w:r>
      <w:r>
        <w:t xml:space="preserve">This section and </w:t>
      </w:r>
      <w:r>
        <w:t>sections 2439</w:t>
      </w:r>
      <w:r>
        <w:t xml:space="preserve"> to </w:t>
      </w:r>
      <w:r>
        <w:t>2445</w:t>
      </w:r>
      <w:r>
        <w:t xml:space="preserve"> shall be known as the "Insurance Policy Language Simplification Act."</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§2438.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§2438.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§2438.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