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2440</w:t>
        <w:t xml:space="preserve">.  </w:t>
      </w:r>
      <w:r>
        <w:rPr>
          <w:b/>
        </w:rPr>
        <w:t xml:space="preserve">Applicability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shall apply to all policies delivered or issued for delivery in this State by an insurer on or after the date the forms must be approved under this Act, but nothing in this Act shall apply to:</w:t>
      </w:r>
    </w:p>
    <w:p>
      <w:pPr>
        <w:jc w:val="both"/>
        <w:spacing w:before="100" w:after="0"/>
        <w:ind w:start="720"/>
      </w:pPr>
      <w:r>
        <w:rPr/>
        <w:t>A</w:t>
        <w:t xml:space="preserve">.  </w:t>
      </w:r>
      <w:r>
        <w:rPr/>
      </w:r>
      <w:r>
        <w:t xml:space="preserve">Any policy which is a security subject to federal jurisdiction;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Any group policy covering a group of 1,000 or more lives at date of issue, other than a group credit life or health insurance policy; this shall not exempt any certificate issued pursuant to a group policy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Any group annuity contract which serves as a funding vehicle for pension, profit-sharing or deferred compensation plans;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Any form used in connection with, as a conversion from, as an addition to, or in exchange pursuant to a contractual provision for, a policy delivered or issued for delivery on a form approved or permitted to be issued prior to the dates the forms must be approved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The renewal of a policy delivered or issued for delivery prior to the dates the forms must be approved under this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Exception.</w:t>
        <w:t xml:space="preserve"> </w:t>
      </w:r>
      <w:r>
        <w:t xml:space="preserve"> </w:t>
      </w:r>
      <w:r>
        <w:t xml:space="preserve">No other statute of this State setting language simplification standards shall apply to any policy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