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Construction</w:t>
      </w:r>
    </w:p>
    <w:p>
      <w:pPr>
        <w:jc w:val="both"/>
        <w:spacing w:before="100" w:after="100"/>
        <w:ind w:start="360"/>
        <w:ind w:firstLine="360"/>
      </w:pPr>
      <w:r>
        <w:rPr/>
      </w:r>
      <w:r>
        <w:rPr/>
      </w:r>
      <w:r>
        <w:t xml:space="preserve">Nothing in this Act shall be construed to negate any law of this State permitting the issuance of any policy form after it has been on file for the time period specified.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§2442.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§2442.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