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2547</w:t>
        <w:t xml:space="preserve">.  </w:t>
      </w:r>
      <w:r>
        <w:rPr>
          <w:b/>
        </w:rPr>
        <w:t xml:space="preserve">Calculation of paid-up annuity benefits</w:t>
      </w:r>
    </w:p>
    <w:p>
      <w:pPr>
        <w:jc w:val="both"/>
        <w:spacing w:before="100" w:after="100"/>
        <w:ind w:start="360"/>
        <w:ind w:firstLine="360"/>
      </w:pPr>
      <w:r>
        <w:rPr/>
      </w:r>
      <w:r>
        <w:rPr/>
      </w:r>
      <w:r>
        <w:t xml:space="preserve">For contracts which do not provide cash surrender benefits, the present value of any paid-up annuity benefit available as a nonforfeiture option at any time prior to maturity shall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being calculated for the period prior to the maturity date on the basis of the interest rate specified in the contract for accumulating the net considerations to determine the maturity value, and increased by existing additional amounts credited by the insurer to the contract. For contracts which do not provide any death benefits prior to the commencement of any annuity payments, the present values shall be calculated on the basis of the interest rate and the mortality table specified in the contract for determining the maturity value of the paid-up annuity benefit. In no event shall the present value of a paid-up annuity benefit be less than the minimum nonforfeiture amount at that time.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§2547. Calculation of paid-up annuity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§2547. Calculation of paid-up annuity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§2547. CALCULATION OF PAID-UP ANNUITY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