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Eligible groups</w:t>
      </w:r>
    </w:p>
    <w:p>
      <w:pPr>
        <w:jc w:val="both"/>
        <w:spacing w:before="100" w:after="100"/>
        <w:ind w:start="360"/>
        <w:ind w:firstLine="360"/>
      </w:pPr>
      <w:r>
        <w:rPr/>
      </w:r>
      <w:r>
        <w:rPr/>
      </w:r>
      <w:r>
        <w:t xml:space="preserve">Except as provided in </w:t>
      </w:r>
      <w:r>
        <w:t>section 2612‑A</w:t>
      </w:r>
      <w:r>
        <w:t xml:space="preserve">, no policy of group life insurance may be delivered in this State unless it conforms to one of the descriptions in </w:t>
      </w:r>
      <w:r>
        <w:t>sections 2603</w:t>
      </w:r>
      <w:r>
        <w:t xml:space="preserve"> to </w:t>
      </w:r>
      <w:r>
        <w:t>2610‑A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§2602-A. Eligible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Eligible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§2602-A. ELIGIBLE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