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Employee groups</w:t>
      </w:r>
    </w:p>
    <w:p>
      <w:pPr>
        <w:jc w:val="both"/>
        <w:spacing w:before="100" w:after="100"/>
        <w:ind w:start="360"/>
        <w:ind w:firstLine="360"/>
      </w:pPr>
      <w:r>
        <w:rPr/>
      </w:r>
      <w:r>
        <w:rPr/>
      </w:r>
      <w:r>
        <w:t xml:space="preserve">The lives of a group of individuals may be insured under a policy issued to an employer or to the trustees of a fund established by an employer, which employer or trustees are considered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§3 (RPR).]</w:t>
      </w:r>
    </w:p>
    <w:p>
      <w:pPr>
        <w:jc w:val="both"/>
        <w:spacing w:before="100" w:after="0"/>
        <w:ind w:start="360"/>
        <w:ind w:firstLine="360"/>
      </w:pPr>
      <w:r>
        <w:rPr>
          <w:b/>
        </w:rPr>
        <w:t>1</w:t>
        <w:t xml:space="preserve">.  </w:t>
      </w:r>
      <w:r>
        <w:rPr>
          <w:b/>
        </w:rPr>
      </w:r>
      <w:r>
        <w:t xml:space="preserve"> </w:t>
      </w:r>
      <w:r>
        <w:t xml:space="preserve">The employees eligible for insurance under the policy shall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§2603.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