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Acquired Immune Deficiency Syndrome</w:t>
      </w:r>
    </w:p>
    <w:p>
      <w:pPr>
        <w:jc w:val="both"/>
        <w:spacing w:before="100" w:after="100"/>
        <w:ind w:start="360"/>
        <w:ind w:firstLine="360"/>
      </w:pPr>
      <w:r>
        <w:rPr/>
      </w:r>
      <w:r>
        <w:rPr/>
      </w:r>
      <w:r>
        <w:t xml:space="preserve">No group life insurance policy delivered or issued for delivery in this State may provide more restrictive coverage for death resulting from Acquired Immune Deficiency Syndrome (AIDS), AIDS Related Complex (ARC) or HIV related diseases than the death resulting from any other disease or sickness or exclude coverage for death resulting from AIDS, ARC or HIV related diseases except through an exclusion under which deaths resulting from all sicknesses and diseases are treated the same or as provided by </w:t>
      </w:r>
      <w:r>
        <w:t>section 2159, subsection 4</w:t>
      </w:r>
      <w:r>
        <w:t xml:space="preserve">.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