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Risk transfer</w:t>
      </w:r>
    </w:p>
    <w:p>
      <w:pPr>
        <w:jc w:val="both"/>
        <w:spacing w:before="100" w:after="100"/>
        <w:ind w:start="360"/>
        <w:ind w:firstLine="360"/>
      </w:pPr>
      <w:r>
        <w:rPr/>
      </w:r>
      <w:r>
        <w:rPr/>
      </w:r>
      <w:r>
        <w:t xml:space="preserve">Preferred provider arrangements may include capitated payments that are limited to the health services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1999, c. 609, §12 (AMD).]</w:t>
      </w:r>
    </w:p>
    <w:p>
      <w:pPr>
        <w:jc w:val="both"/>
        <w:spacing w:before="100" w:after="100"/>
        <w:ind w:start="360"/>
        <w:ind w:firstLine="360"/>
      </w:pPr>
      <w:r>
        <w:rPr/>
      </w:r>
      <w:r>
        <w:rPr/>
      </w:r>
      <w:r>
        <w:t xml:space="preserve">Preferred provider arrangements may embody risk transfer between carriers and providers in accordance with the provisions of </w:t>
      </w:r>
      <w:r>
        <w:t>chapter 56‑A, subchapter III</w:t>
      </w:r>
      <w:r>
        <w:t xml:space="preserve">.  Any other acceptance of insurance risk by a person that does not hold a valid certificate of authority or license and is not exempt by law from licensure constitutes the unauthorized transaction of insurance within the meaning of </w:t>
      </w:r>
      <w:r>
        <w:t>section 404</w:t>
      </w:r>
      <w:r>
        <w:t xml:space="preserve"> and </w:t>
      </w:r>
      <w:r>
        <w:t>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§A53 (RPR). PL 1999, c. 609,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§2676. Risk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Risk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§2676. RISK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