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2696</w:t>
        <w:t xml:space="preserve">.  </w:t>
      </w:r>
      <w:r>
        <w:rPr>
          <w:b/>
        </w:rPr>
        <w:t xml:space="preserve">Preexisting conditions</w:t>
      </w:r>
    </w:p>
    <w:p>
      <w:pPr>
        <w:jc w:val="both"/>
        <w:spacing w:before="100" w:after="0"/>
        <w:ind w:start="360"/>
        <w:ind w:firstLine="360"/>
      </w:pPr>
      <w:r>
        <w:rPr>
          <w:b/>
        </w:rPr>
        <w:t>1</w:t>
        <w:t xml:space="preserve">.  </w:t>
      </w:r>
      <w:r>
        <w:rPr>
          <w:b/>
        </w:rPr>
        <w:t xml:space="preserve">Exclusion based on preexisting condition limited after 12 months.</w:t>
        <w:t xml:space="preserve"> </w:t>
      </w:r>
      <w:r>
        <w:t xml:space="preserve"> </w:t>
      </w:r>
      <w:r>
        <w:t xml:space="preserve">Notwithstanding the provisions of </w:t>
      </w:r>
      <w:r>
        <w:t>section 2706, subsection 2</w:t>
      </w:r>
      <w:r>
        <w:t xml:space="preserve">, division (b), if an insurer elects to use a simplified application or enrollment form, with or without a question as to the prospective insured's health at the time of application or enrollment but without any questions concerning the prospective insured's health history or medical treatment history, the policy must cover any loss occurring after the policy has been in force for 12 months from any preexisting condition not specifically excluded from coverage by terms of the policy, and, except for such specific exclusions, the policy or certificate may not include wording that would permit a defense based upon preexisting conditions, other than rescission for affirmative misrepresentations, after it has been in force for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Exclusion based on preexisting condition limited after 6 months.</w:t>
        <w:t xml:space="preserve"> </w:t>
      </w:r>
      <w:r>
        <w:t xml:space="preserve"> </w:t>
      </w:r>
      <w:r>
        <w:t xml:space="preserve">Notwithstanding the provisions of </w:t>
      </w:r>
      <w:r>
        <w:t>subsection 1</w:t>
      </w:r>
      <w:r>
        <w:t xml:space="preserve"> and </w:t>
      </w:r>
      <w:r>
        <w:t>section 2706, subsection 2</w:t>
      </w:r>
      <w:r>
        <w:t xml:space="preserve">, division (b), an insurer that issues a specified disease policy or certificate may not deny a claim for any covered loss that begins after the policy or certificate has been in force for at least 6 months, unless that loss results from a preexisting condition that was diagnosed by a physician before the date of application for coverage or that first manifested itself within the 6 months immediately preceding the application date. Other defenses based upon preexisting conditions are not permitted except for rescission for misrepresentation.  This subsection applies regardless of whether the policy or certificate is issued on the basis of a detailed application form, a simplified application form or an enrollment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PL 2007, c. 199,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§2696. Preexisting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§2696. Preexisting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§2696. PREEXISTING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