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2731</w:t>
        <w:t xml:space="preserve">.  </w:t>
      </w:r>
      <w:r>
        <w:rPr>
          <w:b/>
        </w:rPr>
        <w:t xml:space="preserve">Third party ownership</w:t>
      </w:r>
    </w:p>
    <w:p>
      <w:pPr>
        <w:jc w:val="both"/>
        <w:spacing w:before="100" w:after="100"/>
        <w:ind w:start="360"/>
        <w:ind w:firstLine="360"/>
      </w:pPr>
      <w:r>
        <w:rPr/>
      </w:r>
      <w:r>
        <w:rPr/>
      </w:r>
      <w:r>
        <w:t xml:space="preserve">The word "insured", as used in this chapter, shall not be construed as preventing a person other than the insured with a proper insurable interest from making application for and owning a policy covering the insured or from being entitled under such a policy to any indemnities, benefits and rights provided therein.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§2731. Third party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§2731. Third party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§2731. THIRD PARTY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