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Coverage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policies and contracts must provide coverage for the purchase of a hearing aid for each hearing-impaired ear for an individual covered under the policy or contract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§28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w:pPr>
        <w:jc w:val="both"/>
        <w:spacing w:before="100" w:after="0"/>
        <w:ind w:start="720"/>
      </w:pPr>
      <w:r>
        <w:rPr/>
        <w:t>C</w:t>
        <w:t xml:space="preserve">.  </w:t>
      </w:r>
      <w:r>
        <w:rPr/>
      </w:r>
      <w:r>
        <w:t xml:space="preserve">The policy or contract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§1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§2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 PL 2015, c. 494, Pt. A, §28 (AMD). PL 2019, c. 418,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§2762.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§2762.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