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2774</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chapter to ensure that they continue to meet the minimum standards set forth in </w:t>
      </w:r>
      <w:r>
        <w:t>section 2772</w:t>
      </w:r>
      <w:r>
        <w:t xml:space="preserve"> and any applicable rules adopted by the superintendent.  The superintendent may perform periodic telephone audits of licensees to determine if representatives of the licensee are reasonably accessible, as required by </w:t>
      </w:r>
      <w:r>
        <w:t>section 2772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chapter or any rules adopted by the superintendent, or who fails to respond in a timely manner to corrective actions ordered by the superintendent.  The superintendent may impose a civil penalty not to exceed $1,000 for each violation, as permitted by </w:t>
      </w:r>
      <w:r>
        <w:t>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