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Requirements</w:t>
      </w:r>
    </w:p>
    <w:p>
      <w:pPr>
        <w:jc w:val="both"/>
        <w:spacing w:before="100" w:after="100"/>
        <w:ind w:start="360"/>
        <w:ind w:firstLine="360"/>
      </w:pPr>
      <w:r>
        <w:rPr/>
      </w:r>
      <w:r>
        <w:rPr/>
      </w:r>
      <w:r>
        <w:t xml:space="preserve">A policy of group health insurance may not be delivered in this State, nor may any certificate of group health insurance that derives from a policy issued in another state be delivered in this State unless the group policyholder conforms to one of the descriptions set forth in </w:t>
      </w:r>
      <w:r>
        <w:t>sections 2804</w:t>
      </w:r>
      <w:r>
        <w:t xml:space="preserve"> to </w:t>
      </w:r>
      <w:r>
        <w:t>2808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238,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147, §1 (RPR). PL 1993, c. 171, §C2 (AMD). PL 2011, c. 238,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§2803.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§2803.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