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2828</w:t>
        <w:t xml:space="preserve">.  </w:t>
      </w:r>
      <w:r>
        <w:rPr>
          <w:b/>
        </w:rPr>
        <w:t xml:space="preserve">Time for suits</w:t>
      </w:r>
    </w:p>
    <w:p>
      <w:pPr>
        <w:jc w:val="both"/>
        <w:spacing w:before="100" w:after="100"/>
        <w:ind w:start="360"/>
        <w:ind w:firstLine="360"/>
      </w:pPr>
      <w:r>
        <w:rPr/>
      </w:r>
      <w:r>
        <w:rPr/>
      </w:r>
      <w:r>
        <w:t xml:space="preserve">There shall be a provision that no action at law or in equity shall be brought to recover on the policy prior to the expiration of 60 days after proof of loss has been filed in accordance with the requirements of the policy and that no such action shall be brought at all, unless brought within 2 years from the expiration of the time within which proof of loss is required by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§2828. Time for suits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§2828. Time for suits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§2828. TIME FOR SUITS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