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§6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§7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that cover radiologic procedures, except those policies that cover only dental procedures, accidental injury or specific diseases,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§5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 group insurance policy may not impose any cost-sharing requirements on a screening mammogram, diagnostic breast examination or supplemental breast examination performed by a provider in accordance with this section. This subsection does not apply to a group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§8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§2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§I6 (NEW). PL 1991, c. 156, §2 (AMD). PL 1991, c. 701, §9 (AMD). PL 1997, c. 408, §5 (AMD). PL 1997, c. 408, §8 (AFF). PL 2003, c. 689, §B6 (REV). PL 2007, c. 153, §2 (AMD). PL 2007, c. 153, §5 (AFF). PL 2023, c. 338,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